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415823</w:t>
      </w:r>
      <w:bookmarkStart w:id="2" w:name="_GoBack"/>
      <w:bookmarkEnd w:id="2"/>
    </w:p>
    <w:p>
      <w:pPr>
        <w:pStyle w:val="73"/>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8"/>
      <w:bookmarkStart w:id="1" w:name="OLE_LINK14"/>
      <w:r>
        <w:rPr>
          <w:rFonts w:hint="eastAsia" w:ascii="Arial" w:hAnsi="Arial"/>
          <w:b/>
          <w:sz w:val="24"/>
          <w:highlight w:val="none"/>
          <w:lang w:val="en-US" w:eastAsia="zh-CN"/>
        </w:rPr>
        <w:t>D</w:t>
      </w:r>
      <w:r>
        <w:rPr>
          <w:rStyle w:val="60"/>
          <w:rFonts w:hint="eastAsia"/>
          <w:b/>
          <w:highlight w:val="none"/>
          <w:lang w:val="pt-BR" w:eastAsia="zh-CN"/>
        </w:rPr>
        <w:t>iscussion on</w:t>
      </w:r>
      <w:bookmarkEnd w:id="0"/>
      <w:bookmarkEnd w:id="1"/>
      <w:r>
        <w:rPr>
          <w:rStyle w:val="60"/>
          <w:rFonts w:hint="eastAsia"/>
          <w:b/>
          <w:highlight w:val="none"/>
          <w:lang w:val="en-US" w:eastAsia="zh-CN"/>
        </w:rPr>
        <w:t xml:space="preserve"> system parameters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6.9.3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from system parameters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0"/>
              <w:textAlignment w:val="baseline"/>
              <w:rPr>
                <w:bCs/>
                <w:sz w:val="20"/>
                <w:szCs w:val="20"/>
              </w:rPr>
            </w:pPr>
            <w:r>
              <w:rPr>
                <w:bCs/>
                <w:sz w:val="20"/>
                <w:szCs w:val="20"/>
              </w:rPr>
              <w:t>The following assumptions are taken as the baseline for this work:</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GSO and NGSO</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NTN capable UE type 1 to 5 (38.101-5 </w:t>
            </w:r>
            <w:r>
              <w:rPr>
                <w:sz w:val="20"/>
                <w:szCs w:val="20"/>
              </w:rPr>
              <w:t xml:space="preserve">Table 9.2.1.0-1) </w:t>
            </w:r>
            <w:r>
              <w:rPr>
                <w:bCs/>
                <w:sz w:val="20"/>
                <w:szCs w:val="20"/>
              </w:rPr>
              <w:t>for above 10 GHz (no handheld devices)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FDD Mode </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GNSS Receiver capability </w:t>
            </w:r>
          </w:p>
          <w:p>
            <w:pPr>
              <w:overflowPunct w:val="0"/>
              <w:autoSpaceDE w:val="0"/>
              <w:autoSpaceDN w:val="0"/>
              <w:adjustRightInd w:val="0"/>
              <w:spacing w:after="0"/>
              <w:ind w:left="720"/>
              <w:textAlignment w:val="baseline"/>
              <w:rPr>
                <w:bCs/>
                <w:color w:val="FF0000"/>
                <w:sz w:val="20"/>
                <w:szCs w:val="20"/>
              </w:rPr>
            </w:pPr>
          </w:p>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frequency range and subcarrier spacing. Conduct new co-existence studies based on adjacent services .</w:t>
            </w:r>
          </w:p>
          <w:p>
            <w:pPr>
              <w:numPr>
                <w:ilvl w:val="0"/>
                <w:numId w:val="9"/>
              </w:numPr>
              <w:overflowPunct w:val="0"/>
              <w:autoSpaceDE w:val="0"/>
              <w:autoSpaceDN w:val="0"/>
              <w:adjustRightInd w:val="0"/>
              <w:spacing w:after="0"/>
              <w:jc w:val="both"/>
              <w:textAlignment w:val="baseline"/>
              <w:rPr>
                <w:bCs/>
                <w:sz w:val="20"/>
                <w:szCs w:val="20"/>
              </w:rPr>
            </w:pPr>
            <w:r>
              <w:rPr>
                <w:sz w:val="20"/>
                <w:szCs w:val="20"/>
              </w:rPr>
              <w:t>Specify RF requirements for satellite access node and NTN VSAT types in 38.101-5 also considering existing regulations on antenna sizes for certain parts of the Ku band.</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RAN4 will select which one of the above approaches for DL and UL will be pursued by RAN #106.</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 to support satellite services in 125 MHz (UL) and 250 MHz (DL) aggregated bandwidths.</w:t>
            </w:r>
          </w:p>
          <w:p>
            <w:pPr>
              <w:pStyle w:val="34"/>
              <w:numPr>
                <w:ilvl w:val="0"/>
                <w:numId w:val="10"/>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 xml:space="preserve">Specify RRM requirements </w:t>
            </w:r>
          </w:p>
          <w:p>
            <w:pPr>
              <w:pStyle w:val="34"/>
              <w:overflowPunct/>
              <w:autoSpaceDE/>
              <w:autoSpaceDN/>
              <w:adjustRightInd/>
              <w:spacing w:before="0" w:beforeAutospacing="0" w:after="160" w:afterAutospacing="0" w:line="259" w:lineRule="auto"/>
              <w:ind w:left="360"/>
              <w:contextualSpacing/>
              <w:jc w:val="both"/>
              <w:textAlignment w:val="auto"/>
              <w:rPr>
                <w:sz w:val="20"/>
                <w:szCs w:val="20"/>
              </w:rPr>
            </w:pP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r>
              <w:rPr>
                <w:sz w:val="20"/>
                <w:szCs w:val="20"/>
              </w:rPr>
              <w:t>Note: Support for NTN CA is not in the scope of this WID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overflowPunct w:val="0"/>
              <w:autoSpaceDE w:val="0"/>
              <w:autoSpaceDN w:val="0"/>
              <w:adjustRightInd w:val="0"/>
              <w:textAlignment w:val="baseline"/>
              <w:rPr>
                <w:rFonts w:hint="default" w:ascii="Times New Roman" w:hAnsi="Times New Roman" w:eastAsia="PMingLiU" w:cs="Times New Roman"/>
                <w:sz w:val="20"/>
                <w:szCs w:val="20"/>
                <w:lang w:val="en-US" w:eastAsia="zh-TW"/>
              </w:rPr>
            </w:pPr>
            <w:r>
              <w:rPr>
                <w:rFonts w:hint="default" w:ascii="Times New Roman" w:hAnsi="Times New Roman" w:cs="Times New Roman"/>
                <w:sz w:val="20"/>
                <w:szCs w:val="20"/>
                <w:lang w:val="en-US"/>
              </w:rPr>
              <w:t xml:space="preserve">Issue 3-1: </w:t>
            </w:r>
            <w:r>
              <w:rPr>
                <w:rFonts w:hint="default" w:ascii="Times New Roman" w:hAnsi="Times New Roman" w:cs="Times New Roman"/>
                <w:sz w:val="20"/>
                <w:szCs w:val="20"/>
              </w:rPr>
              <w:t>Frequency range definition</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Following the scope of the WID, definition of a new frequency range e.g. FR3, is not in scope.</w:t>
            </w:r>
          </w:p>
          <w:p>
            <w:pPr>
              <w:pStyle w:val="5"/>
              <w:numPr>
                <w:ilvl w:val="0"/>
                <w:numId w:val="0"/>
              </w:numPr>
              <w:overflowPunct w:val="0"/>
              <w:autoSpaceDE w:val="0"/>
              <w:autoSpaceDN w:val="0"/>
              <w:adjustRightInd w:val="0"/>
              <w:textAlignment w:val="baseline"/>
              <w:rPr>
                <w:rFonts w:hint="default" w:ascii="Times New Roman" w:hAnsi="Times New Roman" w:cs="Times New Roman"/>
                <w:sz w:val="20"/>
                <w:szCs w:val="20"/>
                <w:lang w:val="en-US"/>
              </w:rPr>
            </w:pPr>
          </w:p>
          <w:p>
            <w:pPr>
              <w:pStyle w:val="5"/>
              <w:numPr>
                <w:ilvl w:val="0"/>
                <w:numId w:val="0"/>
              </w:numPr>
              <w:overflowPunct w:val="0"/>
              <w:autoSpaceDE w:val="0"/>
              <w:autoSpaceDN w:val="0"/>
              <w:adjustRightInd w:val="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3-2: Numerology - Decision criteria</w:t>
            </w:r>
          </w:p>
          <w:p>
            <w:pPr>
              <w:overflowPunct w:val="0"/>
              <w:autoSpaceDE w:val="0"/>
              <w:autoSpaceDN w:val="0"/>
              <w:adjustRightInd w:val="0"/>
              <w:spacing w:after="18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following technical criteria will be used to determine the feasibility of FR1 and FR2 numerology</w:t>
            </w:r>
          </w:p>
          <w:p>
            <w:pPr>
              <w:pStyle w:val="34"/>
              <w:numPr>
                <w:ilvl w:val="0"/>
                <w:numId w:val="11"/>
              </w:numPr>
              <w:overflowPunct w:val="0"/>
              <w:autoSpaceDE w:val="0"/>
              <w:autoSpaceDN w:val="0"/>
              <w:adjustRightInd w:val="0"/>
              <w:spacing w:after="180"/>
              <w:ind w:firstLineChars="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UL timing synchronization</w:t>
            </w:r>
          </w:p>
          <w:p>
            <w:pPr>
              <w:pStyle w:val="34"/>
              <w:numPr>
                <w:ilvl w:val="0"/>
                <w:numId w:val="11"/>
              </w:numPr>
              <w:overflowPunct w:val="0"/>
              <w:autoSpaceDE w:val="0"/>
              <w:autoSpaceDN w:val="0"/>
              <w:adjustRightInd w:val="0"/>
              <w:spacing w:after="180"/>
              <w:ind w:firstLineChars="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Phase noise</w:t>
            </w:r>
          </w:p>
          <w:p>
            <w:pPr>
              <w:pStyle w:val="34"/>
              <w:numPr>
                <w:ilvl w:val="0"/>
                <w:numId w:val="11"/>
              </w:numPr>
              <w:overflowPunct w:val="0"/>
              <w:autoSpaceDE w:val="0"/>
              <w:autoSpaceDN w:val="0"/>
              <w:adjustRightInd w:val="0"/>
              <w:spacing w:after="180"/>
              <w:ind w:firstLineChars="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Efficient channel utilization</w:t>
            </w:r>
          </w:p>
          <w:p>
            <w:pPr>
              <w:pStyle w:val="34"/>
              <w:numPr>
                <w:ilvl w:val="0"/>
                <w:numId w:val="11"/>
              </w:numPr>
              <w:overflowPunct w:val="0"/>
              <w:autoSpaceDE w:val="0"/>
              <w:autoSpaceDN w:val="0"/>
              <w:adjustRightInd w:val="0"/>
              <w:spacing w:after="180"/>
              <w:ind w:firstLineChars="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Beam hopping granularity</w:t>
            </w:r>
          </w:p>
          <w:p>
            <w:pPr>
              <w:pStyle w:val="34"/>
              <w:numPr>
                <w:ilvl w:val="0"/>
                <w:numId w:val="11"/>
              </w:numPr>
              <w:overflowPunct w:val="0"/>
              <w:autoSpaceDE w:val="0"/>
              <w:autoSpaceDN w:val="0"/>
              <w:adjustRightInd w:val="0"/>
              <w:spacing w:after="180"/>
              <w:ind w:firstLineChars="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Link budget UL/DL – as a function of SCS and channel bandwidth</w:t>
            </w:r>
          </w:p>
          <w:p>
            <w:pPr>
              <w:overflowPunct w:val="0"/>
              <w:autoSpaceDE w:val="0"/>
              <w:autoSpaceDN w:val="0"/>
              <w:adjustRightInd w:val="0"/>
              <w:spacing w:after="180"/>
              <w:textAlignment w:val="baseline"/>
              <w:rPr>
                <w:rFonts w:hint="default" w:ascii="Times New Roman" w:hAnsi="Times New Roman" w:cs="Times New Roman"/>
                <w:sz w:val="20"/>
                <w:szCs w:val="20"/>
                <w:lang w:val="en-US" w:eastAsia="zh-CN"/>
              </w:rPr>
            </w:pPr>
          </w:p>
          <w:p>
            <w:pPr>
              <w:pStyle w:val="5"/>
              <w:numPr>
                <w:ilvl w:val="0"/>
                <w:numId w:val="0"/>
              </w:numPr>
              <w:overflowPunct w:val="0"/>
              <w:autoSpaceDE w:val="0"/>
              <w:autoSpaceDN w:val="0"/>
              <w:adjustRightInd w:val="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3-3: Numerology – timing aspects</w:t>
            </w:r>
          </w:p>
          <w:p>
            <w:pPr>
              <w:overflowPunct w:val="0"/>
              <w:autoSpaceDE w:val="0"/>
              <w:autoSpaceDN w:val="0"/>
              <w:adjustRightInd w:val="0"/>
              <w:spacing w:after="18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impact of SCS on timing is critical to reliable performance therefore decisions on FR1 and FR2 numerology feasibility should not be made without a thorough analysis of the issues.</w:t>
            </w:r>
          </w:p>
          <w:p>
            <w:pPr>
              <w:overflowPunct w:val="0"/>
              <w:autoSpaceDE w:val="0"/>
              <w:autoSpaceDN w:val="0"/>
              <w:adjustRightInd w:val="0"/>
              <w:spacing w:after="180"/>
              <w:textAlignment w:val="baseline"/>
              <w:rPr>
                <w:rFonts w:hint="default" w:ascii="Times New Roman" w:hAnsi="Times New Roman" w:cs="Times New Roman"/>
                <w:sz w:val="20"/>
                <w:szCs w:val="20"/>
                <w:lang w:val="en-US" w:eastAsia="zh-CN"/>
              </w:rPr>
            </w:pPr>
          </w:p>
          <w:p>
            <w:pPr>
              <w:pStyle w:val="5"/>
              <w:numPr>
                <w:ilvl w:val="0"/>
                <w:numId w:val="0"/>
              </w:numPr>
              <w:overflowPunct w:val="0"/>
              <w:autoSpaceDE w:val="0"/>
              <w:autoSpaceDN w:val="0"/>
              <w:adjustRightInd w:val="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3-4: Numerology – phase noise</w:t>
            </w:r>
          </w:p>
          <w:p>
            <w:pPr>
              <w:overflowPunct w:val="0"/>
              <w:autoSpaceDE w:val="0"/>
              <w:autoSpaceDN w:val="0"/>
              <w:adjustRightInd w:val="0"/>
              <w:spacing w:after="18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impact of SCS on susceptibility to phase noise is critical to reliable performance therefore decisions on FR1 and FR2 numerology feasibility should not be made without a thorough analysis of the issues.</w:t>
            </w:r>
          </w:p>
          <w:p>
            <w:pPr>
              <w:overflowPunct w:val="0"/>
              <w:autoSpaceDE w:val="0"/>
              <w:autoSpaceDN w:val="0"/>
              <w:adjustRightInd w:val="0"/>
              <w:spacing w:after="180"/>
              <w:textAlignment w:val="baseline"/>
              <w:rPr>
                <w:rFonts w:hint="default" w:ascii="Times New Roman" w:hAnsi="Times New Roman" w:cs="Times New Roman"/>
                <w:sz w:val="20"/>
                <w:szCs w:val="20"/>
                <w:lang w:val="en-US" w:eastAsia="zh-CN"/>
              </w:rPr>
            </w:pPr>
          </w:p>
          <w:p>
            <w:pPr>
              <w:pStyle w:val="5"/>
              <w:numPr>
                <w:ilvl w:val="0"/>
                <w:numId w:val="0"/>
              </w:numPr>
              <w:overflowPunct w:val="0"/>
              <w:autoSpaceDE w:val="0"/>
              <w:autoSpaceDN w:val="0"/>
              <w:adjustRightInd w:val="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3-5: Numerology – efficient channel utilization</w:t>
            </w:r>
          </w:p>
          <w:p>
            <w:pPr>
              <w:overflowPunct w:val="0"/>
              <w:autoSpaceDE w:val="0"/>
              <w:autoSpaceDN w:val="0"/>
              <w:adjustRightInd w:val="0"/>
              <w:spacing w:after="18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ability to efficiently support in future the required aggregate bandwidths [list] of NTN services for different SCS choices based on existing FR1 and FR2 channel bandwidths needs to be fully studied.</w:t>
            </w:r>
          </w:p>
          <w:p>
            <w:pPr>
              <w:overflowPunct w:val="0"/>
              <w:autoSpaceDE w:val="0"/>
              <w:autoSpaceDN w:val="0"/>
              <w:adjustRightInd w:val="0"/>
              <w:spacing w:after="180"/>
              <w:textAlignment w:val="baseline"/>
              <w:rPr>
                <w:rFonts w:hint="default" w:ascii="Times New Roman" w:hAnsi="Times New Roman" w:cs="Times New Roman"/>
                <w:sz w:val="20"/>
                <w:szCs w:val="20"/>
                <w:lang w:val="en-US" w:eastAsia="zh-CN"/>
              </w:rPr>
            </w:pPr>
          </w:p>
          <w:p>
            <w:pPr>
              <w:pStyle w:val="5"/>
              <w:numPr>
                <w:ilvl w:val="0"/>
                <w:numId w:val="0"/>
              </w:numPr>
              <w:overflowPunct w:val="0"/>
              <w:autoSpaceDE w:val="0"/>
              <w:autoSpaceDN w:val="0"/>
              <w:adjustRightInd w:val="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3-6: Numerology</w:t>
            </w:r>
            <w:r>
              <w:rPr>
                <w:rFonts w:hint="default" w:ascii="Times New Roman" w:hAnsi="Times New Roman" w:cs="Times New Roman"/>
                <w:sz w:val="20"/>
                <w:szCs w:val="20"/>
              </w:rPr>
              <w:t>– beam hopping granularity</w:t>
            </w:r>
          </w:p>
          <w:p>
            <w:pPr>
              <w:overflowPunct w:val="0"/>
              <w:autoSpaceDE w:val="0"/>
              <w:autoSpaceDN w:val="0"/>
              <w:adjustRightInd w:val="0"/>
              <w:spacing w:after="18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An analysis of the impact of different SCS on performance, although not critical, can influence the decision on FR1 vs FR2 numerology.</w:t>
            </w:r>
          </w:p>
          <w:p>
            <w:pPr>
              <w:overflowPunct w:val="0"/>
              <w:autoSpaceDE w:val="0"/>
              <w:autoSpaceDN w:val="0"/>
              <w:adjustRightInd w:val="0"/>
              <w:spacing w:after="180"/>
              <w:textAlignment w:val="baseline"/>
              <w:rPr>
                <w:rFonts w:hint="default" w:ascii="Times New Roman" w:hAnsi="Times New Roman" w:cs="Times New Roman"/>
                <w:b w:val="0"/>
                <w:kern w:val="2"/>
                <w:sz w:val="20"/>
                <w:szCs w:val="20"/>
                <w:vertAlign w:val="baseline"/>
                <w:lang w:val="en-US" w:eastAsia="zh-CN" w:bidi="ar-SA"/>
              </w:rPr>
            </w:pPr>
          </w:p>
        </w:tc>
      </w:tr>
    </w:tbl>
    <w:p>
      <w:pPr>
        <w:rPr>
          <w:rFonts w:hint="default" w:cs="Times New Roman"/>
          <w:b w:val="0"/>
          <w:kern w:val="2"/>
          <w:sz w:val="20"/>
          <w:szCs w:val="20"/>
          <w:lang w:val="en-US" w:eastAsia="zh-CN" w:bidi="ar-SA"/>
        </w:rPr>
      </w:pPr>
      <w:r>
        <w:rPr>
          <w:rFonts w:hint="eastAsia" w:cs="Times New Roman"/>
          <w:b w:val="0"/>
          <w:kern w:val="2"/>
          <w:sz w:val="20"/>
          <w:szCs w:val="20"/>
          <w:lang w:val="en-US" w:eastAsia="zh-CN" w:bidi="ar-SA"/>
        </w:rPr>
        <w:t>The above is agreement and way forward we reached in last meeting [2], and we agreed that definition of a new frequency range e.g. FR3, is not in scope. FR1 or FR2 numerology is feasible needs further study. Here we provide some analysis based on the following technical criteria.</w:t>
      </w:r>
    </w:p>
    <w:p>
      <w:pPr>
        <w:pStyle w:val="34"/>
        <w:numPr>
          <w:ilvl w:val="0"/>
          <w:numId w:val="11"/>
        </w:numPr>
        <w:overflowPunct w:val="0"/>
        <w:autoSpaceDE w:val="0"/>
        <w:autoSpaceDN w:val="0"/>
        <w:adjustRightInd w:val="0"/>
        <w:spacing w:after="180"/>
        <w:ind w:firstLineChars="0"/>
        <w:textAlignment w:val="baseline"/>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UL timing synchronization</w:t>
      </w:r>
    </w:p>
    <w:p>
      <w:pPr>
        <w:pStyle w:val="34"/>
        <w:numPr>
          <w:ilvl w:val="0"/>
          <w:numId w:val="0"/>
        </w:numPr>
        <w:overflowPunct w:val="0"/>
        <w:autoSpaceDE w:val="0"/>
        <w:autoSpaceDN w:val="0"/>
        <w:adjustRightInd w:val="0"/>
        <w:spacing w:after="180"/>
        <w:textAlignment w:val="baseline"/>
        <w:rPr>
          <w:rFonts w:hint="default" w:cs="Times New Roman"/>
          <w:sz w:val="20"/>
          <w:szCs w:val="20"/>
          <w:lang w:val="en-US" w:eastAsia="zh-CN"/>
        </w:rPr>
      </w:pPr>
      <w:r>
        <w:rPr>
          <w:rFonts w:hint="eastAsia" w:cs="Times New Roman"/>
          <w:sz w:val="20"/>
          <w:szCs w:val="20"/>
          <w:lang w:val="en-US" w:eastAsia="zh-CN"/>
        </w:rPr>
        <w:t>The narrower SCS is, the longer CP is. Since UL timing</w:t>
      </w:r>
      <w:r>
        <w:rPr>
          <w:rFonts w:hint="default" w:ascii="Times New Roman" w:hAnsi="Times New Roman" w:cs="Times New Roman"/>
          <w:sz w:val="20"/>
          <w:szCs w:val="20"/>
          <w:lang w:val="en-US" w:eastAsia="zh-CN"/>
        </w:rPr>
        <w:t xml:space="preserve"> synchronization</w:t>
      </w:r>
      <w:r>
        <w:rPr>
          <w:rFonts w:hint="eastAsia" w:cs="Times New Roman"/>
          <w:sz w:val="20"/>
          <w:szCs w:val="20"/>
          <w:lang w:val="en-US" w:eastAsia="zh-CN"/>
        </w:rPr>
        <w:t xml:space="preserve"> is critical for NTN, the longer CP is helpful for requiring the transmission from all users to arrive within the CP. From UL timing</w:t>
      </w:r>
      <w:r>
        <w:rPr>
          <w:rFonts w:hint="default" w:ascii="Times New Roman" w:hAnsi="Times New Roman" w:cs="Times New Roman"/>
          <w:sz w:val="20"/>
          <w:szCs w:val="20"/>
          <w:lang w:val="en-US" w:eastAsia="zh-CN"/>
        </w:rPr>
        <w:t xml:space="preserve"> synchronization</w:t>
      </w:r>
      <w:r>
        <w:rPr>
          <w:rFonts w:hint="eastAsia" w:cs="Times New Roman"/>
          <w:sz w:val="20"/>
          <w:szCs w:val="20"/>
          <w:lang w:val="en-US" w:eastAsia="zh-CN"/>
        </w:rPr>
        <w:t xml:space="preserve"> aspect, FR1 numerology is prioritized over FR2 numerology.</w:t>
      </w:r>
    </w:p>
    <w:p>
      <w:pPr>
        <w:pStyle w:val="34"/>
        <w:numPr>
          <w:ilvl w:val="0"/>
          <w:numId w:val="0"/>
        </w:numPr>
        <w:overflowPunct w:val="0"/>
        <w:autoSpaceDE w:val="0"/>
        <w:autoSpaceDN w:val="0"/>
        <w:adjustRightInd w:val="0"/>
        <w:spacing w:after="180"/>
        <w:textAlignment w:val="baseline"/>
        <w:rPr>
          <w:rFonts w:hint="default" w:cs="Times New Roman"/>
          <w:sz w:val="20"/>
          <w:szCs w:val="20"/>
          <w:lang w:val="en-US" w:eastAsia="zh-CN"/>
        </w:rPr>
      </w:pPr>
    </w:p>
    <w:p>
      <w:pPr>
        <w:pStyle w:val="34"/>
        <w:numPr>
          <w:ilvl w:val="0"/>
          <w:numId w:val="11"/>
        </w:numPr>
        <w:overflowPunct w:val="0"/>
        <w:autoSpaceDE w:val="0"/>
        <w:autoSpaceDN w:val="0"/>
        <w:adjustRightInd w:val="0"/>
        <w:spacing w:after="180"/>
        <w:ind w:firstLineChars="0"/>
        <w:textAlignment w:val="baseline"/>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Phase noise</w:t>
      </w:r>
    </w:p>
    <w:p>
      <w:pPr>
        <w:pStyle w:val="34"/>
        <w:numPr>
          <w:ilvl w:val="0"/>
          <w:numId w:val="0"/>
        </w:numPr>
        <w:overflowPunct w:val="0"/>
        <w:autoSpaceDE w:val="0"/>
        <w:autoSpaceDN w:val="0"/>
        <w:adjustRightInd w:val="0"/>
        <w:spacing w:after="180"/>
        <w:textAlignment w:val="baseline"/>
        <w:rPr>
          <w:rFonts w:hint="default" w:cs="Times New Roman"/>
          <w:sz w:val="20"/>
          <w:szCs w:val="20"/>
          <w:lang w:val="en-US" w:eastAsia="zh-CN"/>
        </w:rPr>
      </w:pPr>
      <w:r>
        <w:rPr>
          <w:rFonts w:hint="eastAsia" w:cs="Times New Roman"/>
          <w:sz w:val="20"/>
          <w:szCs w:val="20"/>
          <w:lang w:val="en-US" w:eastAsia="zh-CN"/>
        </w:rPr>
        <w:t xml:space="preserve">Phase noise is another important aspect when considering SCS. High frequency range tends to use wider SCS to reduce the impact of phase noise, and the least SCS in FR2 is 60kHz. Since Ku band is a brand new frequency range will be introduced in 3GPP, we need to whether narrower SCS than 60kHz is feasible for Ku band.We initially compare the demodulation performance between 30kHz, 60kHz and 120kHz through relative throughput simulation, which is shown in Figure 1. The phase noise we selected is based on Example 2 of mmWave SSB phase noise model in TS38.803 with the principle that PN could increase by 6 dB every time when </w:t>
      </w:r>
      <w:r>
        <w:rPr>
          <w:rFonts w:hint="eastAsia" w:cs="Times New Roman"/>
          <w:i/>
          <w:iCs/>
          <w:sz w:val="20"/>
          <w:szCs w:val="20"/>
          <w:lang w:val="en-US" w:eastAsia="zh-CN"/>
        </w:rPr>
        <w:t>f</w:t>
      </w:r>
      <w:r>
        <w:rPr>
          <w:rFonts w:hint="eastAsia" w:cs="Times New Roman"/>
          <w:i/>
          <w:iCs/>
          <w:sz w:val="20"/>
          <w:szCs w:val="20"/>
          <w:vertAlign w:val="subscript"/>
          <w:lang w:val="en-US" w:eastAsia="zh-CN"/>
        </w:rPr>
        <w:t>0</w:t>
      </w:r>
      <w:r>
        <w:rPr>
          <w:rFonts w:hint="eastAsia" w:cs="Times New Roman"/>
          <w:sz w:val="20"/>
          <w:szCs w:val="20"/>
          <w:lang w:val="en-US" w:eastAsia="zh-CN"/>
        </w:rPr>
        <w:t xml:space="preserve"> doubles (assuming FoM and other things do not change), which is given in Figure 2. From relative throughput simulation result, it can be observed that 30kHz without PTRS has similar performance as 60kHz with PTRS, which is slightly worse than 120kHz with PTRS. Consequently, FR1 and FR2 numerology are all feasible for Ku band from the impact of SCS on susceptibility to phase noise aspect.</w:t>
      </w:r>
    </w:p>
    <w:p>
      <w:pPr>
        <w:pStyle w:val="34"/>
        <w:numPr>
          <w:ilvl w:val="0"/>
          <w:numId w:val="0"/>
        </w:numPr>
        <w:overflowPunct w:val="0"/>
        <w:autoSpaceDE w:val="0"/>
        <w:autoSpaceDN w:val="0"/>
        <w:adjustRightInd w:val="0"/>
        <w:spacing w:after="180"/>
        <w:textAlignment w:val="baseline"/>
        <w:rPr>
          <w:rFonts w:hint="eastAsia" w:cs="Times New Roman"/>
          <w:sz w:val="20"/>
          <w:szCs w:val="20"/>
          <w:lang w:val="en-US" w:eastAsia="zh-CN"/>
        </w:rPr>
      </w:pPr>
      <w:r>
        <w:rPr>
          <w:rFonts w:hint="eastAsia" w:cs="Times New Roman"/>
          <w:sz w:val="20"/>
          <w:szCs w:val="20"/>
          <w:lang w:val="en-US" w:eastAsia="zh-CN"/>
        </w:rPr>
        <w:drawing>
          <wp:inline distT="0" distB="0" distL="114300" distR="114300">
            <wp:extent cx="2927985" cy="2195830"/>
            <wp:effectExtent l="0" t="0" r="13335"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pic:blipFill>
                  <pic:spPr>
                    <a:xfrm>
                      <a:off x="0" y="0"/>
                      <a:ext cx="2927985" cy="2195830"/>
                    </a:xfrm>
                    <a:prstGeom prst="rect">
                      <a:avLst/>
                    </a:prstGeom>
                  </pic:spPr>
                </pic:pic>
              </a:graphicData>
            </a:graphic>
          </wp:inline>
        </w:drawing>
      </w:r>
      <w:r>
        <w:rPr>
          <w:rFonts w:hint="eastAsia" w:cs="Times New Roman"/>
          <w:sz w:val="20"/>
          <w:szCs w:val="20"/>
          <w:lang w:val="en-US" w:eastAsia="zh-CN"/>
        </w:rPr>
        <w:drawing>
          <wp:inline distT="0" distB="0" distL="114300" distR="114300">
            <wp:extent cx="2927985" cy="2195830"/>
            <wp:effectExtent l="0" t="0" r="1333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pic:blipFill>
                  <pic:spPr>
                    <a:xfrm>
                      <a:off x="0" y="0"/>
                      <a:ext cx="2927985" cy="2195830"/>
                    </a:xfrm>
                    <a:prstGeom prst="rect">
                      <a:avLst/>
                    </a:prstGeom>
                  </pic:spPr>
                </pic:pic>
              </a:graphicData>
            </a:graphic>
          </wp:inline>
        </w:drawing>
      </w:r>
    </w:p>
    <w:p>
      <w:pPr>
        <w:pStyle w:val="34"/>
        <w:numPr>
          <w:ilvl w:val="0"/>
          <w:numId w:val="0"/>
        </w:numPr>
        <w:overflowPunct w:val="0"/>
        <w:autoSpaceDE w:val="0"/>
        <w:autoSpaceDN w:val="0"/>
        <w:adjustRightInd w:val="0"/>
        <w:spacing w:after="180"/>
        <w:textAlignment w:val="baseline"/>
        <w:rPr>
          <w:rFonts w:hint="default" w:cs="Times New Roman"/>
          <w:sz w:val="20"/>
          <w:szCs w:val="20"/>
          <w:lang w:val="en-US" w:eastAsia="zh-CN"/>
        </w:rPr>
      </w:pPr>
      <w:r>
        <w:rPr>
          <w:rFonts w:hint="eastAsia" w:cs="Times New Roman"/>
          <w:sz w:val="20"/>
          <w:szCs w:val="20"/>
          <w:lang w:val="en-US" w:eastAsia="zh-CN"/>
        </w:rPr>
        <w:t>Figure 1: Relative throughput between different SCS      Figure 2: PSD of proposed phase noise model for Ku band</w:t>
      </w:r>
    </w:p>
    <w:p>
      <w:pPr>
        <w:pStyle w:val="34"/>
        <w:numPr>
          <w:ilvl w:val="0"/>
          <w:numId w:val="0"/>
        </w:numPr>
        <w:overflowPunct w:val="0"/>
        <w:autoSpaceDE w:val="0"/>
        <w:autoSpaceDN w:val="0"/>
        <w:adjustRightInd w:val="0"/>
        <w:spacing w:after="180"/>
        <w:textAlignment w:val="baseline"/>
        <w:rPr>
          <w:rFonts w:hint="default" w:ascii="Times New Roman" w:hAnsi="Times New Roman" w:cs="Times New Roman"/>
          <w:sz w:val="20"/>
          <w:szCs w:val="20"/>
          <w:lang w:val="en-US" w:eastAsia="zh-CN"/>
        </w:rPr>
      </w:pPr>
    </w:p>
    <w:p>
      <w:pPr>
        <w:pStyle w:val="34"/>
        <w:numPr>
          <w:ilvl w:val="0"/>
          <w:numId w:val="11"/>
        </w:numPr>
        <w:overflowPunct w:val="0"/>
        <w:autoSpaceDE w:val="0"/>
        <w:autoSpaceDN w:val="0"/>
        <w:adjustRightInd w:val="0"/>
        <w:spacing w:after="180"/>
        <w:ind w:firstLineChars="0"/>
        <w:textAlignment w:val="baseline"/>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Efficient channel utilization</w:t>
      </w:r>
      <w:r>
        <w:rPr>
          <w:rFonts w:hint="eastAsia" w:cs="Times New Roman"/>
          <w:b/>
          <w:bCs/>
          <w:sz w:val="20"/>
          <w:szCs w:val="20"/>
          <w:lang w:val="en-US" w:eastAsia="zh-CN"/>
        </w:rPr>
        <w:t xml:space="preserve"> </w:t>
      </w:r>
    </w:p>
    <w:p>
      <w:pPr>
        <w:pStyle w:val="34"/>
        <w:numPr>
          <w:ilvl w:val="0"/>
          <w:numId w:val="0"/>
        </w:numPr>
        <w:overflowPunct w:val="0"/>
        <w:autoSpaceDE w:val="0"/>
        <w:autoSpaceDN w:val="0"/>
        <w:adjustRightInd w:val="0"/>
        <w:spacing w:beforeLines="0" w:after="180" w:afterLines="50" w:line="240" w:lineRule="auto"/>
        <w:contextualSpacing/>
        <w:jc w:val="both"/>
        <w:textAlignment w:val="baseline"/>
        <w:rPr>
          <w:rFonts w:hint="default" w:ascii="Times New Roman" w:hAnsi="Times New Roman" w:cs="Times New Roman"/>
          <w:sz w:val="20"/>
          <w:szCs w:val="20"/>
          <w:lang w:val="en-US" w:eastAsia="zh-CN"/>
        </w:rPr>
      </w:pPr>
      <w:r>
        <w:rPr>
          <w:rFonts w:hint="eastAsia" w:cs="Times New Roman"/>
          <w:sz w:val="20"/>
          <w:szCs w:val="20"/>
          <w:lang w:val="en-US" w:eastAsia="zh-CN"/>
        </w:rPr>
        <w:t>According to [3] and [4], the channel bandwidth of existing legacy and advance Ku band satellites in service are 8MHz, 27MHz, 36 MHz, 54 MHz, 72 MHz, 108 MHz, 144 MHz, 216 MHz, 450 MHz and 662 MHz. For satellite channel bandwidth less than 100MHz, using FR1 numerology can maximum channel utilization. For satellite channel bandwidth more than 100MHz, we can use carrier aggregation to achieve flexible deployment. FR2 numerology may cause higher spectrum wastage compared to FR1 numerology.</w:t>
      </w:r>
    </w:p>
    <w:p>
      <w:pPr>
        <w:pStyle w:val="34"/>
        <w:numPr>
          <w:ilvl w:val="0"/>
          <w:numId w:val="0"/>
        </w:numPr>
        <w:overflowPunct w:val="0"/>
        <w:autoSpaceDE w:val="0"/>
        <w:autoSpaceDN w:val="0"/>
        <w:adjustRightInd w:val="0"/>
        <w:spacing w:after="180"/>
        <w:textAlignment w:val="baseline"/>
        <w:rPr>
          <w:rFonts w:hint="default"/>
          <w:b/>
          <w:bCs/>
          <w:i w:val="0"/>
          <w:iCs w:val="0"/>
          <w:sz w:val="20"/>
          <w:szCs w:val="20"/>
          <w:lang w:val="en-US" w:eastAsia="zh-CN"/>
        </w:rPr>
      </w:pPr>
    </w:p>
    <w:p>
      <w:pPr>
        <w:pStyle w:val="34"/>
        <w:numPr>
          <w:ilvl w:val="0"/>
          <w:numId w:val="0"/>
        </w:numPr>
        <w:overflowPunct w:val="0"/>
        <w:autoSpaceDE w:val="0"/>
        <w:autoSpaceDN w:val="0"/>
        <w:adjustRightInd w:val="0"/>
        <w:spacing w:after="180"/>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Proposal 1: From </w:t>
      </w:r>
      <w:r>
        <w:rPr>
          <w:rFonts w:hint="default"/>
          <w:b/>
          <w:bCs/>
          <w:i w:val="0"/>
          <w:iCs w:val="0"/>
          <w:sz w:val="20"/>
          <w:szCs w:val="20"/>
          <w:lang w:val="en-US" w:eastAsia="zh-CN"/>
        </w:rPr>
        <w:t>UL timing synchronization</w:t>
      </w:r>
      <w:r>
        <w:rPr>
          <w:rFonts w:hint="eastAsia"/>
          <w:b/>
          <w:bCs/>
          <w:i w:val="0"/>
          <w:iCs w:val="0"/>
          <w:sz w:val="20"/>
          <w:szCs w:val="20"/>
          <w:lang w:val="en-US" w:eastAsia="zh-CN"/>
        </w:rPr>
        <w:t>, p</w:t>
      </w:r>
      <w:r>
        <w:rPr>
          <w:rFonts w:hint="default"/>
          <w:b/>
          <w:bCs/>
          <w:i w:val="0"/>
          <w:iCs w:val="0"/>
          <w:sz w:val="20"/>
          <w:szCs w:val="20"/>
          <w:lang w:val="en-US" w:eastAsia="zh-CN"/>
        </w:rPr>
        <w:t>hase noise</w:t>
      </w:r>
      <w:r>
        <w:rPr>
          <w:rFonts w:hint="eastAsia"/>
          <w:b/>
          <w:bCs/>
          <w:i w:val="0"/>
          <w:iCs w:val="0"/>
          <w:sz w:val="20"/>
          <w:szCs w:val="20"/>
          <w:lang w:val="en-US" w:eastAsia="zh-CN"/>
        </w:rPr>
        <w:t xml:space="preserve"> and e</w:t>
      </w:r>
      <w:r>
        <w:rPr>
          <w:rFonts w:hint="default"/>
          <w:b/>
          <w:bCs/>
          <w:i w:val="0"/>
          <w:iCs w:val="0"/>
          <w:sz w:val="20"/>
          <w:szCs w:val="20"/>
          <w:lang w:val="en-US" w:eastAsia="zh-CN"/>
        </w:rPr>
        <w:t>fficient channel utilization</w:t>
      </w:r>
      <w:r>
        <w:rPr>
          <w:rFonts w:hint="eastAsia"/>
          <w:b/>
          <w:bCs/>
          <w:i w:val="0"/>
          <w:iCs w:val="0"/>
          <w:sz w:val="20"/>
          <w:szCs w:val="20"/>
          <w:lang w:val="en-US" w:eastAsia="zh-CN"/>
        </w:rPr>
        <w:t xml:space="preserve"> aspect, FR1 numerology is feasible for Ku band.</w:t>
      </w:r>
    </w:p>
    <w:p>
      <w:pPr>
        <w:pStyle w:val="34"/>
        <w:numPr>
          <w:ilvl w:val="0"/>
          <w:numId w:val="0"/>
        </w:numPr>
        <w:overflowPunct w:val="0"/>
        <w:autoSpaceDE w:val="0"/>
        <w:autoSpaceDN w:val="0"/>
        <w:adjustRightInd w:val="0"/>
        <w:spacing w:after="180"/>
        <w:textAlignment w:val="baseline"/>
        <w:rPr>
          <w:rFonts w:hint="default" w:ascii="Times New Roman" w:hAnsi="Times New Roman" w:cs="Times New Roman"/>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
          <w:bCs/>
          <w:i w:val="0"/>
          <w:iCs w:val="0"/>
          <w:sz w:val="20"/>
          <w:szCs w:val="20"/>
          <w:lang w:val="en-US" w:eastAsia="zh-CN"/>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system parameters</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 xml:space="preserve"> is</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pStyle w:val="34"/>
        <w:numPr>
          <w:ilvl w:val="0"/>
          <w:numId w:val="0"/>
        </w:numPr>
        <w:overflowPunct w:val="0"/>
        <w:autoSpaceDE w:val="0"/>
        <w:autoSpaceDN w:val="0"/>
        <w:adjustRightInd w:val="0"/>
        <w:spacing w:after="180"/>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Proposal 1: From </w:t>
      </w:r>
      <w:r>
        <w:rPr>
          <w:rFonts w:hint="default"/>
          <w:b/>
          <w:bCs/>
          <w:i w:val="0"/>
          <w:iCs w:val="0"/>
          <w:sz w:val="20"/>
          <w:szCs w:val="20"/>
          <w:lang w:val="en-US" w:eastAsia="zh-CN"/>
        </w:rPr>
        <w:t>UL timing synchronization</w:t>
      </w:r>
      <w:r>
        <w:rPr>
          <w:rFonts w:hint="eastAsia"/>
          <w:b/>
          <w:bCs/>
          <w:i w:val="0"/>
          <w:iCs w:val="0"/>
          <w:sz w:val="20"/>
          <w:szCs w:val="20"/>
          <w:lang w:val="en-US" w:eastAsia="zh-CN"/>
        </w:rPr>
        <w:t>, p</w:t>
      </w:r>
      <w:r>
        <w:rPr>
          <w:rFonts w:hint="default"/>
          <w:b/>
          <w:bCs/>
          <w:i w:val="0"/>
          <w:iCs w:val="0"/>
          <w:sz w:val="20"/>
          <w:szCs w:val="20"/>
          <w:lang w:val="en-US" w:eastAsia="zh-CN"/>
        </w:rPr>
        <w:t>hase noise</w:t>
      </w:r>
      <w:r>
        <w:rPr>
          <w:rFonts w:hint="eastAsia"/>
          <w:b/>
          <w:bCs/>
          <w:i w:val="0"/>
          <w:iCs w:val="0"/>
          <w:sz w:val="20"/>
          <w:szCs w:val="20"/>
          <w:lang w:val="en-US" w:eastAsia="zh-CN"/>
        </w:rPr>
        <w:t xml:space="preserve"> and e</w:t>
      </w:r>
      <w:r>
        <w:rPr>
          <w:rFonts w:hint="default"/>
          <w:b/>
          <w:bCs/>
          <w:i w:val="0"/>
          <w:iCs w:val="0"/>
          <w:sz w:val="20"/>
          <w:szCs w:val="20"/>
          <w:lang w:val="en-US" w:eastAsia="zh-CN"/>
        </w:rPr>
        <w:t>fficient channel utilization</w:t>
      </w:r>
      <w:r>
        <w:rPr>
          <w:rFonts w:hint="eastAsia"/>
          <w:b/>
          <w:bCs/>
          <w:i w:val="0"/>
          <w:iCs w:val="0"/>
          <w:sz w:val="20"/>
          <w:szCs w:val="20"/>
          <w:lang w:val="en-US" w:eastAsia="zh-CN"/>
        </w:rPr>
        <w:t xml:space="preserve"> aspect, FR1 numerology is feasible for Ku band.</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RP-241690, New WID on Introduction of Ku Band for NR NTN, Intelsat et al.</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R4-2413519</w:t>
      </w:r>
      <w:r>
        <w:rPr>
          <w:rFonts w:hint="eastAsia"/>
          <w:color w:val="auto"/>
          <w:lang w:val="en-US" w:eastAsia="zh-CN"/>
        </w:rPr>
        <w:t>, Way Forward for [112][314] NR_NTN_Ku_Band_General, Moderator (Eutelsat Group)</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R4-2413458</w:t>
      </w:r>
      <w:r>
        <w:rPr>
          <w:rFonts w:hint="eastAsia"/>
          <w:color w:val="auto"/>
          <w:lang w:val="en-US" w:eastAsia="zh-CN"/>
        </w:rPr>
        <w:t>, Ku Band Channel Allocation for Legacy Satellite System, SKY Perfect JSAT</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R4-2411509</w:t>
      </w:r>
      <w:r>
        <w:rPr>
          <w:rFonts w:hint="eastAsia"/>
          <w:color w:val="auto"/>
          <w:lang w:val="en-US" w:eastAsia="zh-CN"/>
        </w:rPr>
        <w:t>, Channel Bandwidth Mapping, Intelsat</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ind w:left="2160" w:hanging="360"/>
      </w:p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6E1C7C72"/>
    <w:multiLevelType w:val="multilevel"/>
    <w:tmpl w:val="6E1C7C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9"/>
  </w:num>
  <w:num w:numId="3">
    <w:abstractNumId w:val="7"/>
  </w:num>
  <w:num w:numId="4">
    <w:abstractNumId w:val="5"/>
  </w:num>
  <w:num w:numId="5">
    <w:abstractNumId w:val="6"/>
  </w:num>
  <w:num w:numId="6">
    <w:abstractNumId w:val="1"/>
  </w:num>
  <w:num w:numId="7">
    <w:abstractNumId w:val="0"/>
  </w:num>
  <w:num w:numId="8">
    <w:abstractNumId w:val="3"/>
  </w:num>
  <w:num w:numId="9">
    <w:abstractNumId w:val="11"/>
  </w:num>
  <w:num w:numId="10">
    <w:abstractNumId w:val="4"/>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C77E0"/>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8D22BA"/>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2228D"/>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13426"/>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53771"/>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81B98"/>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55D13"/>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C41AE"/>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E6DEC"/>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119AA"/>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76C9A"/>
    <w:rsid w:val="127C144F"/>
    <w:rsid w:val="127E5AA6"/>
    <w:rsid w:val="12811F99"/>
    <w:rsid w:val="12813BAC"/>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623BB"/>
    <w:rsid w:val="1307341C"/>
    <w:rsid w:val="130C40FE"/>
    <w:rsid w:val="130E3629"/>
    <w:rsid w:val="13116666"/>
    <w:rsid w:val="13125197"/>
    <w:rsid w:val="131B39DD"/>
    <w:rsid w:val="13283BA4"/>
    <w:rsid w:val="13332F77"/>
    <w:rsid w:val="13334E1C"/>
    <w:rsid w:val="13346EE4"/>
    <w:rsid w:val="13384952"/>
    <w:rsid w:val="1355107F"/>
    <w:rsid w:val="135D4D2E"/>
    <w:rsid w:val="1366638D"/>
    <w:rsid w:val="1369011A"/>
    <w:rsid w:val="136D76E8"/>
    <w:rsid w:val="136E21E5"/>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794D85"/>
    <w:rsid w:val="14816B50"/>
    <w:rsid w:val="148313F4"/>
    <w:rsid w:val="1485665F"/>
    <w:rsid w:val="14934F1A"/>
    <w:rsid w:val="149559C4"/>
    <w:rsid w:val="149D71D6"/>
    <w:rsid w:val="149E3770"/>
    <w:rsid w:val="14A13FBC"/>
    <w:rsid w:val="14A67171"/>
    <w:rsid w:val="14AA71CB"/>
    <w:rsid w:val="14AC0C32"/>
    <w:rsid w:val="14B21834"/>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22554"/>
    <w:rsid w:val="15740334"/>
    <w:rsid w:val="1574662E"/>
    <w:rsid w:val="15751882"/>
    <w:rsid w:val="1575191B"/>
    <w:rsid w:val="157818C6"/>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B0783"/>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1368"/>
    <w:rsid w:val="1B9E64C5"/>
    <w:rsid w:val="1B9E6D4C"/>
    <w:rsid w:val="1BB07CEA"/>
    <w:rsid w:val="1BBD43BA"/>
    <w:rsid w:val="1BBE1FA1"/>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31D14"/>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2B19B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70407"/>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EB72B8"/>
    <w:rsid w:val="22F15AB9"/>
    <w:rsid w:val="22F75251"/>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0C17"/>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C65B2"/>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1365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526F"/>
    <w:rsid w:val="2D024DC7"/>
    <w:rsid w:val="2D026315"/>
    <w:rsid w:val="2D0764BD"/>
    <w:rsid w:val="2D0A1FD9"/>
    <w:rsid w:val="2D0A3DA2"/>
    <w:rsid w:val="2D0B3169"/>
    <w:rsid w:val="2D0D4219"/>
    <w:rsid w:val="2D105AFA"/>
    <w:rsid w:val="2D2279B8"/>
    <w:rsid w:val="2D274320"/>
    <w:rsid w:val="2D2D2DE2"/>
    <w:rsid w:val="2D3117D3"/>
    <w:rsid w:val="2D324CCC"/>
    <w:rsid w:val="2D340E86"/>
    <w:rsid w:val="2D395427"/>
    <w:rsid w:val="2D3A2269"/>
    <w:rsid w:val="2D3D0E02"/>
    <w:rsid w:val="2D4A661B"/>
    <w:rsid w:val="2D510F65"/>
    <w:rsid w:val="2D5436FA"/>
    <w:rsid w:val="2D59263A"/>
    <w:rsid w:val="2D62469E"/>
    <w:rsid w:val="2D6B40A9"/>
    <w:rsid w:val="2D8A3FA2"/>
    <w:rsid w:val="2D931C55"/>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0451D"/>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53221"/>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27D99"/>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46F76"/>
    <w:rsid w:val="351A603C"/>
    <w:rsid w:val="352821F6"/>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AC22DD"/>
    <w:rsid w:val="37C94031"/>
    <w:rsid w:val="37CA042E"/>
    <w:rsid w:val="37CA2635"/>
    <w:rsid w:val="37D44549"/>
    <w:rsid w:val="37D77B09"/>
    <w:rsid w:val="37D931A8"/>
    <w:rsid w:val="37D97EDE"/>
    <w:rsid w:val="37E76E34"/>
    <w:rsid w:val="37F21986"/>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3152B"/>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CC4EE8"/>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1ECE"/>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56495"/>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B0C21"/>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B1EB2"/>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15D73"/>
    <w:rsid w:val="49F400AC"/>
    <w:rsid w:val="49F9104E"/>
    <w:rsid w:val="4A0244D3"/>
    <w:rsid w:val="4A255046"/>
    <w:rsid w:val="4A2E1525"/>
    <w:rsid w:val="4A5A756D"/>
    <w:rsid w:val="4A70010B"/>
    <w:rsid w:val="4A722B4C"/>
    <w:rsid w:val="4A785772"/>
    <w:rsid w:val="4A7A7433"/>
    <w:rsid w:val="4A842E43"/>
    <w:rsid w:val="4A886D1D"/>
    <w:rsid w:val="4A89105B"/>
    <w:rsid w:val="4A955EEB"/>
    <w:rsid w:val="4AA341CC"/>
    <w:rsid w:val="4AB21389"/>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56BAC"/>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5F599D"/>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7D6BF7"/>
    <w:rsid w:val="4F844A99"/>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6E5B6B"/>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40C69"/>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3737D"/>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154160"/>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A19D2"/>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46911"/>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A211B"/>
    <w:rsid w:val="64FB4412"/>
    <w:rsid w:val="64FE700F"/>
    <w:rsid w:val="6500327F"/>
    <w:rsid w:val="6503698F"/>
    <w:rsid w:val="6506609B"/>
    <w:rsid w:val="65083216"/>
    <w:rsid w:val="650A57D3"/>
    <w:rsid w:val="65460728"/>
    <w:rsid w:val="654835A8"/>
    <w:rsid w:val="654C7056"/>
    <w:rsid w:val="655522F1"/>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03FB2"/>
    <w:rsid w:val="66705094"/>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6676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B837C7"/>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D44D6B"/>
    <w:rsid w:val="6AE4699C"/>
    <w:rsid w:val="6AED1BE8"/>
    <w:rsid w:val="6AF00853"/>
    <w:rsid w:val="6AF317C6"/>
    <w:rsid w:val="6B004C6B"/>
    <w:rsid w:val="6B09696B"/>
    <w:rsid w:val="6B2B0EFD"/>
    <w:rsid w:val="6B2C13E4"/>
    <w:rsid w:val="6B2D2EEB"/>
    <w:rsid w:val="6B322952"/>
    <w:rsid w:val="6B410613"/>
    <w:rsid w:val="6B4831F4"/>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30AB3"/>
    <w:rsid w:val="6CB71894"/>
    <w:rsid w:val="6CB91201"/>
    <w:rsid w:val="6CC13ACE"/>
    <w:rsid w:val="6CD63FB3"/>
    <w:rsid w:val="6CD73CDB"/>
    <w:rsid w:val="6CD91323"/>
    <w:rsid w:val="6CFE035F"/>
    <w:rsid w:val="6D056EA6"/>
    <w:rsid w:val="6D0A5C1E"/>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DD15C6"/>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8F4433"/>
    <w:rsid w:val="6E920B5B"/>
    <w:rsid w:val="6E990B16"/>
    <w:rsid w:val="6E995AB6"/>
    <w:rsid w:val="6EA80CC5"/>
    <w:rsid w:val="6EB169D3"/>
    <w:rsid w:val="6EB21539"/>
    <w:rsid w:val="6EB829B1"/>
    <w:rsid w:val="6EB978A9"/>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33576"/>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9621B"/>
    <w:rsid w:val="716F00B2"/>
    <w:rsid w:val="71702748"/>
    <w:rsid w:val="71867894"/>
    <w:rsid w:val="718E3AA9"/>
    <w:rsid w:val="71920F6D"/>
    <w:rsid w:val="7196106A"/>
    <w:rsid w:val="719E0160"/>
    <w:rsid w:val="719F7A78"/>
    <w:rsid w:val="71A03079"/>
    <w:rsid w:val="71AD22C0"/>
    <w:rsid w:val="71B623F6"/>
    <w:rsid w:val="71B649D8"/>
    <w:rsid w:val="71B84778"/>
    <w:rsid w:val="71C17B7E"/>
    <w:rsid w:val="71C7540C"/>
    <w:rsid w:val="71E857A5"/>
    <w:rsid w:val="71EF5B86"/>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0C43E5"/>
    <w:rsid w:val="7317244F"/>
    <w:rsid w:val="732070DA"/>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CC6B2A"/>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DA3F44"/>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15F4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0E7446"/>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84F94"/>
    <w:rsid w:val="7C2A465C"/>
    <w:rsid w:val="7C2E06D8"/>
    <w:rsid w:val="7C305879"/>
    <w:rsid w:val="7C34521A"/>
    <w:rsid w:val="7C4067F6"/>
    <w:rsid w:val="7C417F31"/>
    <w:rsid w:val="7C4674BA"/>
    <w:rsid w:val="7C4A2BD1"/>
    <w:rsid w:val="7C4C0053"/>
    <w:rsid w:val="7C576C70"/>
    <w:rsid w:val="7C6E4349"/>
    <w:rsid w:val="7C77043F"/>
    <w:rsid w:val="7C8379D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3E58B5"/>
    <w:rsid w:val="7E4401AF"/>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74</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2024-10-07T06:02:03Z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CE8A610540F14958B8813FE80E450575</vt:lpwstr>
  </property>
</Properties>
</file>